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Amirault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Amirault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44.457</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-65.835</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Amirault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Amirault Lake is a small lake in Digby County in southwestern Nova Scotia.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Amirault Lake is mostly undeveloped except for a few residential or cottage developments. The forested upland is composed of stands dominated by Red Spruce, Eastern Hemlock, Red Maple and Red Oak (NS Department of Natural Resources, Provincial Landscape Viewer). The property around the lake is privately owned.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Min. number of RUs is calculated as half the estimated population size given in the COSEWIC assessment and status report (COSEWIC 2005. COSEWIC assessment and status report on the prototype quillwort Isoetes prototypus in Canada. Committee on the Status of Endangered Wildlife in Canada. Ottawa. vii + 31 pp. ). Note: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COSEWIC 2005. COSEWIC assessment and status report on the prototype quillwort Isoetes prototypus in Canada. Committee on the Status of Endangered Wildlife in Canada. Ottawa. vii + 31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2021-03-02T14:23:53Z</dcterms:modified>
</cp:coreProperties>
</file>