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Barrington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Long-tubercled Spikerush</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Eleocharis tuberculosa</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Barrington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43.614</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-65.574</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Long-tubercled Spikerush</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Eleocharis tuberculosa</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Barrington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B1 [criterion met by 1 species] - Site regularly holds ≥10% of the national population size AND ≥10 reproductive units of a geographically-restricted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Barrington Lake is a medium-sized lake along the Barrington River in southwestern Nova Scotia. Tubercled Spike-rush occurs in open peaty/sandy substrate and floating peat mat habitat along in the shoreline of the lake which experiences regular disturbances from flooding and ice scour (COSEWIC, 2010). The lake has large boggy bays in the north and southern shore near the inflow and outflow of Barrington River where the bulk of the Tubercled Spike-rush population occurs.
Barrington Lake is located in the Western ecoregion of Nova scotia within the Sable ecodistrict. This ecodistrict is known for an abundance bogs and other wetlands, having the highest concentration of peatlands in the province (Neily et. al., 2017). The surrounding upland forest is composed of fir, spruce and red maple (Service Nova Scotia Provincial Landscape Viewer [accessed June 2020]). The shoreline Great Pubnico Lake is mostly undeveloped, but the lake has multiple access points for both road and off-road vehicles (COSEWIC, 2010).  About 20% of the terrestrial lake frontage where Tubercled Spike-rush occurs is on Barrington Lake provincially owned, but the lakeshore has some development from cottage lots (COSEWIC, 2010).  
There are observations of the nationally rare moss Sphagnum trinitense from a boggy meadow in the southern end of the lake near its outflow (AC CDC database, 2020). In Canada, Sphagnum trinitense is known only from Nova Scotia in lakeshore habitat at three lakes in southwestern Nova Scotia (NatureServe Explorer, 2020; AC CDC database, 2020).
For references see: BarringtonLakeKBAProposal_supplement.docx</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Eleocharis tuberculosa</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 B1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mature individuals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150000</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175000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200000</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2008</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250000</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275000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300000</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63.6</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Based on counts of population data (number of clumps) from Atlantic Canada Conservation Data Centre observation database, this species exceeds  the minimum number of RUs needed to qualify for the threshold criteria.</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COSEWIC, 2010. COSEWIC assessment and status report on the Tubercled Spike-rush Eleocharis tuberculosa in Canada. Committee on the Status of Endangered Wildlife in Canada. Ottawa. vi + 28 pp. Note: population estimate is based on 'clumps' which are a suitable index for number of mature individuals.</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National minimum and maximum estimates are given in COSEWIC, 2010. COSEWIC assessment and status report on the Tubercled Spike-rush Eleocharis tuberculosa in Canada. Committee on the Status of Endangered Wildlife in Canada. Ottawa. vi + 28 pp. Note: population estimate is based on 'clumps' which are a suitable index for number of mature individuals.</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Boundary is derived from a 5m vertical buffer of the lake polygon, using an Enhanced Digital Elevation Model (DP ME 55, Version 2, 2006) for the province of Nova Scotia. The vertical buffer was trimmed at a 300m horizontal distance from the lakeshore.</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Barrington Lake hosts the largest population of Tubercled Spike-rush in Canada (COSWEIC, 2010). Tubercled Spike-rush is a tall perennial sedge whose Canadian distribution is limited to six lakes in southwestern Nova Scotia. Its’ main global range is along the coastal plain of the United States, from Maine to Texas (COSEWIC, 2010). The disjunct populations of Tubercled Spike-rush in southwestern Nova Scotia are part a group of unrelated plants referred to as Atlantic Coastal Plain Flora, that are rare or unknown elsewhere in Canada. Due to the large distance between the Nova Scotia populations and the closest population in the US, there is low chance for immigration if the Canadian population is lost.</w:t>
              <w:br/>
              <w:t xml:space="preserve">For references see: BarringtonLakeKBAProposal_supplement.docx</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 peatmoss (Sphagnum trinitense, G4, N1N2)</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Legislation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Human intrusions &amp; disturbance;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2021-02-18T16:02:41Z</dcterms:modified>
</cp:coreProperties>
</file>