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Gold and Western lakes</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Gold and Western lakes</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43.847</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-65.454</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Gold and Western lakes</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Gold and Western lakes are two medium-sized lakes connected by a ~500m stream in southwestern Nova Scotia. Tubercled Spike-rush occurs in open peaty/sandy substrate and floating peat mat habitat along in the shoreline of the lake which experiences regular disturbances from flooding and ice scour (COSEWIC, 2010). 
Gold and Western lakes are located in the Western ecoregion of Nova scotia within the Sable ecodistrict. This ecodistrict is known for an abundance bogs and other wetlands, having the highest concentration of peatlands in the province (Neily et. al., 2017). The surrounding upland forest is composed of fir, pine, spruce and red maple (Service Nova Scotia Provincial Landscape Viewer [accessed June 2020]). The shoreline of both lakes is largely undeveloped, and the shoreline is only accessible to off-road vehicles (COSEWIC, 2010).  About 60% of the terrestrial lake frontage on Gold Lake and 100% of lake frontage on Western Lake where Tubercled Spike-rush occurs is provincially owned.
For references see: GoldLakeKBAProposal_supplement.docx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Eleocharis tuberculosa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mature individuals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4197</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2012</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250000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275000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300000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Based on counts of population data (number of clumps) from Atlantic Canada Conservation Data Centre observation database, this species exceeds  the minimum number of RUs needed to qualify for the threshold criteria.</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Count of population data from Atlantic Canada Conservation Data Centre observation database from a targeted survey in 2012. Note: population estimate is based on 'clumps' which are a suitable index for number of mature individuals, see: COSEWIC, 2010. COSEWIC assessment and status report on the Tubercled Spike-rush Eleocharis tuberculosa in Canada. Committee on the Status of Endangered Wildlife in Canada. Ottawa. vi + 28 pp.</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National minimum and maximum estimates are given in COSEWIC, 2010. COSEWIC assessment and status report on the Tubercled Spike-rush Eleocharis tuberculosa in Canada. Committee on the Status of Endangered Wildlife in Canada. Ottawa. vi + 28 pp. Note: population estimate is based on 'clumps' which are a suitable index for number of mature individuals.</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5m vertical buffer of the lake polygons, using an Enhanced Digital Elevation Model (DP ME 55, Version 2, 2006) for the province of Nova Scotia. The vertical buffer was trimmed at a 300m horizontal distance from the lakeshores.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Gold and Western Lakes are two of only six lakes in Canada with populations of Tubercled Spike-rush (COSWEIC, 2010). Tubercled Spike-rush is a tall perennial sedge whose Canadian distribution is limited to six lakes in southwestern Nova Scotia. Its’ main global range is along the coastal plain of the United States, from Maine to Texas (COSEWIC, 2010). The disjunct populations of Tubercled Spike-rush in southwestern Nova Scotia are part a group of unrelated plants referred to as Atlantic Coastal Plain Flora, that are rare or unknown elsewhere in Canada. Due to the large distance between the Nova Scotia populations and the closest population in the US, there is low chance for immigration if the Canadian population is lost. The bulk of the population of Tubercled Spike-rush at this site occurs on Gold Lake with only a small minority of plants occurring on Western Lake (~30 clumps, AC CDC database, 2020).</w:t>
              <w:br/>
              <w:t xml:space="preserve">For references see: GoldLakeKBAProposal_supplement.docx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2021-02-18T16:02:54Z</dcterms:modified>
</cp:coreProperties>
</file>